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6D20" w14:textId="77777777" w:rsidR="006869DC" w:rsidRDefault="006869DC">
      <w:pPr>
        <w:pStyle w:val="a3"/>
        <w:spacing w:before="65"/>
        <w:ind w:left="7571"/>
      </w:pPr>
    </w:p>
    <w:p w14:paraId="3FAFFB2D" w14:textId="6D3883F0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0E03AC0A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5653E3">
        <w:t>2022</w:t>
      </w:r>
      <w:r>
        <w:t>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4B93A5A2" w:rsidR="00104A14" w:rsidRDefault="00104A14">
      <w:pPr>
        <w:pStyle w:val="a3"/>
        <w:rPr>
          <w:sz w:val="24"/>
        </w:rPr>
      </w:pPr>
    </w:p>
    <w:p w14:paraId="7A461249" w14:textId="77777777" w:rsidR="006869DC" w:rsidRDefault="006869DC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35D4D8F9" w:rsidR="00104A14" w:rsidRDefault="00C820E8" w:rsidP="005C03DB">
      <w:pPr>
        <w:pStyle w:val="a3"/>
        <w:spacing w:before="18" w:line="259" w:lineRule="auto"/>
        <w:ind w:left="200" w:right="121" w:firstLine="566"/>
        <w:jc w:val="both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0C5831">
        <w:t>КИЇВОБЛГАЗ</w:t>
      </w:r>
      <w:r w:rsidR="009A7DAC">
        <w:t xml:space="preserve">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3D41FF" w:rsidRPr="003D41FF">
        <w:t xml:space="preserve"> </w:t>
      </w:r>
      <w:r w:rsidR="003D41FF" w:rsidRPr="007D47BE">
        <w:t>№11</w:t>
      </w:r>
      <w:r w:rsidR="000C5831">
        <w:t>1</w:t>
      </w:r>
      <w:r w:rsidR="003D41FF" w:rsidRPr="007D47BE">
        <w:t xml:space="preserve">9 від </w:t>
      </w:r>
      <w:r w:rsidR="000C5831">
        <w:t>17</w:t>
      </w:r>
      <w:r w:rsidR="003D41FF" w:rsidRPr="007D47BE">
        <w:t>.06.2020р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129D8360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0C5831">
        <w:t>КИЇВОБЛГАЗ</w:t>
      </w:r>
      <w:r w:rsidR="009A7DAC">
        <w:t xml:space="preserve"> 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електропостачальника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6EF909D3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 w:rsidR="005653E3">
        <w:t xml:space="preserve"> 01.01</w:t>
      </w:r>
      <w:r w:rsidR="006869DC" w:rsidRPr="006869DC">
        <w:t>.</w:t>
      </w:r>
      <w:r w:rsidR="005653E3">
        <w:t>2022</w:t>
      </w:r>
      <w:r>
        <w:t>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 w:rsidR="006869DC">
        <w:t>31.03</w:t>
      </w:r>
      <w:r>
        <w:t>.</w:t>
      </w:r>
      <w:r w:rsidR="006869DC">
        <w:t>2022</w:t>
      </w:r>
      <w:r>
        <w:t>р.</w:t>
      </w:r>
    </w:p>
    <w:p w14:paraId="4F85657F" w14:textId="77777777" w:rsidR="006869DC" w:rsidRDefault="006869DC">
      <w:pPr>
        <w:pStyle w:val="1"/>
        <w:tabs>
          <w:tab w:val="left" w:pos="7326"/>
        </w:tabs>
        <w:spacing w:before="24" w:after="19"/>
        <w:jc w:val="both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6869DC">
        <w:trPr>
          <w:trHeight w:val="347"/>
        </w:trPr>
        <w:tc>
          <w:tcPr>
            <w:tcW w:w="1556" w:type="dxa"/>
            <w:vAlign w:val="center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  <w:vAlign w:val="center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6869DC">
        <w:trPr>
          <w:trHeight w:val="3708"/>
        </w:trPr>
        <w:tc>
          <w:tcPr>
            <w:tcW w:w="1556" w:type="dxa"/>
            <w:textDirection w:val="btLr"/>
            <w:vAlign w:val="cente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  <w:vAlign w:val="center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14:paraId="64C37DE2" w14:textId="22C4CC36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1D323F">
              <w:t xml:space="preserve"> </w:t>
            </w:r>
            <w:r w:rsidR="00B10CFA">
              <w:t>5000</w:t>
            </w:r>
            <w:r w:rsidR="00162817">
              <w:t xml:space="preserve"> </w:t>
            </w:r>
            <w:r w:rsidR="009118B7" w:rsidRPr="000211CE">
              <w:rPr>
                <w:color w:val="000000"/>
                <w:shd w:val="clear" w:color="auto" w:fill="FFFFFF"/>
              </w:rPr>
              <w:t>грн/</w:t>
            </w:r>
            <w:proofErr w:type="spellStart"/>
            <w:r w:rsidR="009118B7" w:rsidRPr="000211CE">
              <w:rPr>
                <w:color w:val="000000"/>
                <w:shd w:val="clear" w:color="auto" w:fill="FFFFFF"/>
              </w:rPr>
              <w:t>МВт</w:t>
            </w:r>
            <w:proofErr w:type="spellEnd"/>
            <w:r w:rsidR="009118B7" w:rsidRPr="000211CE">
              <w:rPr>
                <w:color w:val="000000"/>
                <w:shd w:val="clear" w:color="auto" w:fill="FFFFFF"/>
              </w:rPr>
              <w:t>*год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2"/>
              </w:rPr>
              <w:t xml:space="preserve"> </w:t>
            </w:r>
            <w:r>
              <w:t>ПДВ</w:t>
            </w:r>
          </w:p>
          <w:p w14:paraId="3AC1267C" w14:textId="440D8EF3" w:rsidR="00104A14" w:rsidRDefault="00C820E8" w:rsidP="00162817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104A14" w14:paraId="10A79B37" w14:textId="77777777" w:rsidTr="006869DC">
        <w:trPr>
          <w:trHeight w:val="2737"/>
        </w:trPr>
        <w:tc>
          <w:tcPr>
            <w:tcW w:w="1556" w:type="dxa"/>
            <w:textDirection w:val="btLr"/>
            <w:vAlign w:val="cente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  <w:vAlign w:val="center"/>
          </w:tcPr>
          <w:p w14:paraId="18B5C732" w14:textId="77777777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</w:tbl>
    <w:p w14:paraId="08FA3C7D" w14:textId="77777777" w:rsidR="00104A14" w:rsidRDefault="00104A14">
      <w:pPr>
        <w:sectPr w:rsidR="00104A14" w:rsidSect="006869DC">
          <w:type w:val="continuous"/>
          <w:pgSz w:w="11910" w:h="16840"/>
          <w:pgMar w:top="340" w:right="440" w:bottom="1135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 w:rsidTr="006869DC">
        <w:trPr>
          <w:trHeight w:val="1975"/>
        </w:trPr>
        <w:tc>
          <w:tcPr>
            <w:tcW w:w="1556" w:type="dxa"/>
            <w:textDirection w:val="btLr"/>
            <w:vAlign w:val="center"/>
          </w:tcPr>
          <w:p w14:paraId="730E4B23" w14:textId="46290E28" w:rsidR="00104A14" w:rsidRDefault="00C820E8" w:rsidP="006869DC">
            <w:pPr>
              <w:pStyle w:val="TableParagraph"/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  <w:vAlign w:val="center"/>
          </w:tcPr>
          <w:p w14:paraId="3BFC15AA" w14:textId="77777777" w:rsidR="006869DC" w:rsidRPr="006869DC" w:rsidRDefault="006869DC" w:rsidP="006869DC">
            <w:pPr>
              <w:tabs>
                <w:tab w:val="left" w:pos="567"/>
              </w:tabs>
              <w:ind w:left="209"/>
              <w:jc w:val="both"/>
              <w:rPr>
                <w:bCs/>
                <w:color w:val="000000"/>
                <w:lang w:eastAsia="ru-RU"/>
              </w:rPr>
            </w:pPr>
            <w:r w:rsidRPr="006869DC">
              <w:rPr>
                <w:bCs/>
                <w:color w:val="000000"/>
                <w:lang w:eastAsia="ru-RU"/>
              </w:rPr>
              <w:t>Споживач здійснює оплату за електроенергію до початку розрахункового періоду, в місяці що передує розрахунковому, попереднім платежем (</w:t>
            </w:r>
            <w:proofErr w:type="spellStart"/>
            <w:r w:rsidRPr="006869DC">
              <w:rPr>
                <w:b/>
                <w:bCs/>
                <w:color w:val="000000"/>
                <w:lang w:eastAsia="ru-RU"/>
              </w:rPr>
              <w:t>Вп</w:t>
            </w:r>
            <w:proofErr w:type="spellEnd"/>
            <w:r w:rsidRPr="006869DC">
              <w:rPr>
                <w:bCs/>
                <w:color w:val="000000"/>
                <w:lang w:eastAsia="ru-RU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6869DC">
              <w:rPr>
                <w:b/>
                <w:bCs/>
                <w:color w:val="000000"/>
                <w:lang w:eastAsia="ru-RU"/>
              </w:rPr>
              <w:t>Vп</w:t>
            </w:r>
            <w:proofErr w:type="spellEnd"/>
            <w:r w:rsidRPr="006869DC">
              <w:rPr>
                <w:bCs/>
                <w:color w:val="000000"/>
                <w:lang w:eastAsia="ru-RU"/>
              </w:rPr>
              <w:t xml:space="preserve">), виходячи з фіксованої ціни та тарифу на послуги з передачі електричної енергії, на підставі рахунку Постачальника на попередню оплату або самостійно розрахованої (за формулою </w:t>
            </w:r>
            <w:proofErr w:type="spellStart"/>
            <w:r w:rsidRPr="006869DC">
              <w:rPr>
                <w:b/>
                <w:bCs/>
                <w:color w:val="000000"/>
                <w:lang w:eastAsia="ru-RU"/>
              </w:rPr>
              <w:t>Вп</w:t>
            </w:r>
            <w:proofErr w:type="spellEnd"/>
            <w:r w:rsidRPr="006869DC">
              <w:rPr>
                <w:b/>
                <w:bCs/>
                <w:color w:val="000000"/>
                <w:lang w:eastAsia="ru-RU"/>
              </w:rPr>
              <w:t xml:space="preserve"> = </w:t>
            </w:r>
            <w:proofErr w:type="spellStart"/>
            <w:r w:rsidRPr="006869DC">
              <w:rPr>
                <w:b/>
                <w:bCs/>
                <w:color w:val="000000"/>
                <w:lang w:eastAsia="ru-RU"/>
              </w:rPr>
              <w:t>Vп</w:t>
            </w:r>
            <w:proofErr w:type="spellEnd"/>
            <w:r w:rsidRPr="006869DC">
              <w:rPr>
                <w:b/>
                <w:bCs/>
                <w:color w:val="000000"/>
                <w:lang w:eastAsia="ru-RU"/>
              </w:rPr>
              <w:t xml:space="preserve"> × (Ц + </w:t>
            </w:r>
            <w:proofErr w:type="spellStart"/>
            <w:r w:rsidRPr="006869DC">
              <w:rPr>
                <w:b/>
                <w:bCs/>
                <w:color w:val="000000"/>
                <w:lang w:eastAsia="ru-RU"/>
              </w:rPr>
              <w:t>Тосп</w:t>
            </w:r>
            <w:proofErr w:type="spellEnd"/>
            <w:r w:rsidRPr="006869DC">
              <w:rPr>
                <w:b/>
                <w:bCs/>
                <w:color w:val="000000"/>
                <w:lang w:eastAsia="ru-RU"/>
              </w:rPr>
              <w:t>)</w:t>
            </w:r>
            <w:r w:rsidRPr="006869DC">
              <w:rPr>
                <w:bCs/>
                <w:color w:val="000000"/>
                <w:lang w:eastAsia="ru-RU"/>
              </w:rPr>
              <w:t>, грошовими коштами на рахунок Постачальника.</w:t>
            </w:r>
          </w:p>
          <w:p w14:paraId="20675D39" w14:textId="6BA0C91B" w:rsidR="00104A14" w:rsidRPr="006869DC" w:rsidRDefault="006869DC" w:rsidP="006869DC">
            <w:pPr>
              <w:tabs>
                <w:tab w:val="left" w:pos="567"/>
              </w:tabs>
              <w:ind w:left="209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869DC">
              <w:rPr>
                <w:bCs/>
                <w:color w:val="000000"/>
                <w:lang w:eastAsia="ru-RU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фактичної закупівельної вартості електричної енергії, що закуплена Постачальником за результатами розрахункового періоду.</w:t>
            </w:r>
          </w:p>
        </w:tc>
      </w:tr>
      <w:tr w:rsidR="00104A14" w14:paraId="3B4ACDEE" w14:textId="77777777" w:rsidTr="0032064F">
        <w:trPr>
          <w:trHeight w:val="1987"/>
        </w:trPr>
        <w:tc>
          <w:tcPr>
            <w:tcW w:w="1556" w:type="dxa"/>
            <w:textDirection w:val="btLr"/>
            <w:vAlign w:val="center"/>
          </w:tcPr>
          <w:p w14:paraId="6EC38CFE" w14:textId="6705AD74" w:rsidR="00104A14" w:rsidRDefault="00C820E8" w:rsidP="0032064F">
            <w:pPr>
              <w:pStyle w:val="TableParagraph"/>
              <w:ind w:left="160"/>
              <w:jc w:val="center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 w:rsidR="0032064F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  <w:vAlign w:val="center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 w:rsidTr="006869DC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  <w:vAlign w:val="cente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  <w:vAlign w:val="center"/>
          </w:tcPr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 w:rsidTr="0032064F">
        <w:trPr>
          <w:trHeight w:val="174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  <w:vAlign w:val="center"/>
          </w:tcPr>
          <w:p w14:paraId="03979E72" w14:textId="77777777" w:rsidR="00323857" w:rsidRDefault="00323857" w:rsidP="00323857">
            <w:pPr>
              <w:pStyle w:val="TableParagraph"/>
              <w:spacing w:line="290" w:lineRule="auto"/>
              <w:ind w:left="113" w:right="135"/>
              <w:rPr>
                <w:b/>
                <w:sz w:val="18"/>
                <w:szCs w:val="18"/>
              </w:rPr>
            </w:pPr>
          </w:p>
          <w:p w14:paraId="39FDD2CD" w14:textId="6AA63914" w:rsidR="00104A14" w:rsidRDefault="00323857" w:rsidP="00323857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  <w:vAlign w:val="center"/>
          </w:tcPr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 w:rsidTr="005653E3">
        <w:trPr>
          <w:trHeight w:val="2806"/>
        </w:trPr>
        <w:tc>
          <w:tcPr>
            <w:tcW w:w="1556" w:type="dxa"/>
            <w:textDirection w:val="btLr"/>
            <w:vAlign w:val="cente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  <w:vAlign w:val="center"/>
          </w:tcPr>
          <w:p w14:paraId="33F2C132" w14:textId="77777777" w:rsidR="00104A14" w:rsidRDefault="00C820E8" w:rsidP="006869DC">
            <w:pPr>
              <w:pStyle w:val="TableParagraph"/>
              <w:spacing w:line="259" w:lineRule="auto"/>
              <w:ind w:left="209" w:right="161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 w:rsidTr="005653E3">
        <w:trPr>
          <w:trHeight w:val="2265"/>
        </w:trPr>
        <w:tc>
          <w:tcPr>
            <w:tcW w:w="1556" w:type="dxa"/>
            <w:textDirection w:val="btLr"/>
            <w:vAlign w:val="cente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Pr="005653E3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</w:rPr>
            </w:pPr>
            <w:r w:rsidRPr="005653E3">
              <w:rPr>
                <w:b/>
                <w:spacing w:val="-1"/>
              </w:rPr>
              <w:t xml:space="preserve">Компенсація </w:t>
            </w:r>
            <w:r w:rsidRPr="005653E3">
              <w:rPr>
                <w:b/>
              </w:rPr>
              <w:t>за</w:t>
            </w:r>
            <w:r w:rsidRPr="005653E3">
              <w:rPr>
                <w:b/>
                <w:spacing w:val="-42"/>
              </w:rPr>
              <w:t xml:space="preserve"> </w:t>
            </w:r>
            <w:r w:rsidRPr="005653E3">
              <w:rPr>
                <w:b/>
              </w:rPr>
              <w:t>недотримання</w:t>
            </w:r>
            <w:r w:rsidRPr="005653E3">
              <w:rPr>
                <w:b/>
                <w:spacing w:val="1"/>
              </w:rPr>
              <w:t xml:space="preserve"> </w:t>
            </w:r>
            <w:r w:rsidRPr="005653E3">
              <w:rPr>
                <w:b/>
              </w:rPr>
              <w:t>комерційної</w:t>
            </w:r>
            <w:r w:rsidRPr="005653E3">
              <w:rPr>
                <w:b/>
                <w:spacing w:val="1"/>
              </w:rPr>
              <w:t xml:space="preserve"> </w:t>
            </w:r>
            <w:r w:rsidRPr="005653E3">
              <w:rPr>
                <w:b/>
              </w:rPr>
              <w:t>якості надання</w:t>
            </w:r>
            <w:r w:rsidRPr="005653E3">
              <w:rPr>
                <w:b/>
                <w:spacing w:val="-42"/>
              </w:rPr>
              <w:t xml:space="preserve"> </w:t>
            </w:r>
            <w:r w:rsidRPr="005653E3">
              <w:rPr>
                <w:b/>
              </w:rPr>
              <w:t>послуг</w:t>
            </w:r>
          </w:p>
        </w:tc>
        <w:tc>
          <w:tcPr>
            <w:tcW w:w="9074" w:type="dxa"/>
            <w:vAlign w:val="center"/>
          </w:tcPr>
          <w:p w14:paraId="7C0F92FC" w14:textId="77777777" w:rsidR="00104A14" w:rsidRDefault="00C820E8" w:rsidP="006869DC">
            <w:pPr>
              <w:pStyle w:val="TableParagraph"/>
              <w:ind w:left="209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  <w:tr w:rsidR="005653E3" w14:paraId="2A2D89EA" w14:textId="77777777" w:rsidTr="005653E3">
        <w:trPr>
          <w:trHeight w:val="1336"/>
        </w:trPr>
        <w:tc>
          <w:tcPr>
            <w:tcW w:w="1556" w:type="dxa"/>
            <w:textDirection w:val="btLr"/>
            <w:vAlign w:val="center"/>
          </w:tcPr>
          <w:p w14:paraId="1D6700BB" w14:textId="7E3F875C" w:rsidR="005653E3" w:rsidRPr="005653E3" w:rsidRDefault="005653E3" w:rsidP="005653E3">
            <w:pPr>
              <w:pStyle w:val="TableParagraph"/>
              <w:spacing w:before="2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</w:rPr>
              <w:t>Можливість постачання захищеним споживачам</w:t>
            </w:r>
          </w:p>
        </w:tc>
        <w:tc>
          <w:tcPr>
            <w:tcW w:w="9074" w:type="dxa"/>
            <w:vAlign w:val="center"/>
          </w:tcPr>
          <w:p w14:paraId="1393DA61" w14:textId="6638DF56" w:rsidR="005653E3" w:rsidRDefault="005653E3" w:rsidP="005653E3">
            <w:pPr>
              <w:pStyle w:val="TableParagraph"/>
              <w:ind w:left="209" w:right="133"/>
              <w:jc w:val="both"/>
            </w:pPr>
            <w:r>
              <w:rPr>
                <w:lang w:val="ru-RU"/>
              </w:rPr>
              <w:t xml:space="preserve">Так, з </w:t>
            </w:r>
            <w:proofErr w:type="spellStart"/>
            <w:r>
              <w:rPr>
                <w:lang w:val="ru-RU"/>
              </w:rPr>
              <w:t>врахуванням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 w:rsidTr="006869DC">
        <w:trPr>
          <w:trHeight w:val="2224"/>
        </w:trPr>
        <w:tc>
          <w:tcPr>
            <w:tcW w:w="1556" w:type="dxa"/>
            <w:textDirection w:val="btLr"/>
            <w:vAlign w:val="cente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  <w:vAlign w:val="center"/>
          </w:tcPr>
          <w:p w14:paraId="2628EB3F" w14:textId="112FD237" w:rsidR="00104A14" w:rsidRDefault="00C820E8" w:rsidP="006869DC">
            <w:pPr>
              <w:pStyle w:val="TableParagraph"/>
              <w:spacing w:before="94"/>
              <w:ind w:left="209" w:right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 w:rsidR="006869DC">
              <w:t>31.03</w:t>
            </w:r>
            <w:r>
              <w:t>.</w:t>
            </w:r>
            <w:r w:rsidR="006869DC">
              <w:t>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6E58A40D" w:rsidR="00104A14" w:rsidRDefault="000C5831">
      <w:pPr>
        <w:spacing w:before="9" w:line="237" w:lineRule="auto"/>
        <w:ind w:left="200" w:right="126" w:firstLine="566"/>
        <w:jc w:val="both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10602F4" wp14:editId="2656E33F">
                <wp:simplePos x="0" y="0"/>
                <wp:positionH relativeFrom="page">
                  <wp:posOffset>1106805</wp:posOffset>
                </wp:positionH>
                <wp:positionV relativeFrom="paragraph">
                  <wp:posOffset>-942975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458A062" id="Rectangle 6" o:spid="_x0000_s1026" style="position:absolute;margin-left:87.15pt;margin-top:-74.25pt;width:13.1pt;height:.1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Z7dwIAAPg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" stroked="f">
                <w10:wrap anchorx="page"/>
              </v:rect>
            </w:pict>
          </mc:Fallback>
        </mc:AlternateConten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228A35BF" w:rsidR="00104A14" w:rsidRDefault="00C820E8">
      <w:pPr>
        <w:pStyle w:val="a3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0C5831">
        <w:t>КИЇВОБЛГАЗ</w:t>
      </w:r>
      <w:r w:rsidR="009A7DAC">
        <w:t xml:space="preserve"> ЗБУТ</w:t>
      </w:r>
      <w:r>
        <w:t>»</w:t>
      </w:r>
      <w:r>
        <w:rPr>
          <w:spacing w:val="-3"/>
        </w:rPr>
        <w:t xml:space="preserve"> </w:t>
      </w:r>
      <w:r>
        <w:t>-</w:t>
      </w:r>
      <w:r w:rsidR="009A7DAC">
        <w:t xml:space="preserve"> </w:t>
      </w:r>
      <w:r w:rsidR="003D41FF" w:rsidRPr="003D41FF">
        <w:t xml:space="preserve"> www.</w:t>
      </w:r>
      <w:proofErr w:type="spellStart"/>
      <w:r w:rsidR="000C5831">
        <w:rPr>
          <w:lang w:val="en-US"/>
        </w:rPr>
        <w:t>kv</w:t>
      </w:r>
      <w:proofErr w:type="spellEnd"/>
      <w:r w:rsidR="0011078E" w:rsidRPr="0011078E">
        <w:t>gaszbut.com.ua</w:t>
      </w:r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1086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5414"/>
        <w:gridCol w:w="5447"/>
      </w:tblGrid>
      <w:tr w:rsidR="00104A14" w14:paraId="1E262F86" w14:textId="77777777" w:rsidTr="000C5831">
        <w:trPr>
          <w:trHeight w:val="3377"/>
        </w:trPr>
        <w:tc>
          <w:tcPr>
            <w:tcW w:w="5414" w:type="dxa"/>
          </w:tcPr>
          <w:p w14:paraId="23891D38" w14:textId="2FD7C83C" w:rsidR="00DA2DB0" w:rsidRPr="00DA2DB0" w:rsidRDefault="00DA2DB0" w:rsidP="00DA2DB0">
            <w:pPr>
              <w:pStyle w:val="TableParagraph"/>
              <w:spacing w:line="244" w:lineRule="exact"/>
              <w:ind w:left="483"/>
              <w:jc w:val="center"/>
              <w:rPr>
                <w:b/>
                <w:lang w:val="ru-RU"/>
              </w:rPr>
            </w:pPr>
            <w:proofErr w:type="spellStart"/>
            <w:r w:rsidRPr="00DA2DB0">
              <w:rPr>
                <w:b/>
                <w:lang w:val="ru-RU"/>
              </w:rPr>
              <w:t>Постачальник</w:t>
            </w:r>
            <w:proofErr w:type="spellEnd"/>
          </w:p>
          <w:p w14:paraId="589DDAF5" w14:textId="77777777" w:rsidR="00DA2DB0" w:rsidRDefault="00DA2DB0" w:rsidP="009A7DAC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35AEFF07" w14:textId="4067BCF7" w:rsidR="009A7DAC" w:rsidRPr="00DA2DB0" w:rsidRDefault="009A7DAC" w:rsidP="000C5831">
            <w:pPr>
              <w:pStyle w:val="TableParagraph"/>
              <w:spacing w:line="244" w:lineRule="exact"/>
              <w:ind w:left="164"/>
              <w:rPr>
                <w:bCs/>
              </w:rPr>
            </w:pPr>
            <w:r w:rsidRPr="00DA2DB0">
              <w:rPr>
                <w:bCs/>
              </w:rPr>
              <w:t>ТОВ</w:t>
            </w:r>
            <w:r w:rsidRPr="00DA2DB0">
              <w:rPr>
                <w:bCs/>
                <w:spacing w:val="-1"/>
              </w:rPr>
              <w:t xml:space="preserve"> </w:t>
            </w:r>
            <w:r w:rsidRPr="00DA2DB0">
              <w:rPr>
                <w:bCs/>
              </w:rPr>
              <w:t>«</w:t>
            </w:r>
            <w:r w:rsidR="000C5831">
              <w:rPr>
                <w:bCs/>
              </w:rPr>
              <w:t>КИЇВОБЛГАЗ</w:t>
            </w:r>
            <w:r w:rsidRPr="00DA2DB0">
              <w:rPr>
                <w:bCs/>
                <w:spacing w:val="52"/>
              </w:rPr>
              <w:t xml:space="preserve"> </w:t>
            </w:r>
            <w:r w:rsidRPr="00DA2DB0">
              <w:rPr>
                <w:bCs/>
              </w:rPr>
              <w:t>ЗБУТ»</w:t>
            </w:r>
          </w:p>
          <w:p w14:paraId="6BD3DB52" w14:textId="544FAE5D" w:rsidR="003D41FF" w:rsidRPr="003D41FF" w:rsidRDefault="003D41FF" w:rsidP="000C5831">
            <w:pPr>
              <w:pStyle w:val="TableParagraph"/>
              <w:ind w:left="164" w:right="1227"/>
              <w:rPr>
                <w:b/>
                <w:bCs/>
              </w:rPr>
            </w:pPr>
            <w:r w:rsidRPr="003D41FF">
              <w:rPr>
                <w:lang w:val="ru-RU"/>
              </w:rPr>
              <w:t>EIC</w:t>
            </w:r>
            <w:r w:rsidRPr="000C5831">
              <w:t xml:space="preserve">-Код: </w:t>
            </w:r>
            <w:r w:rsidR="000C5831" w:rsidRPr="008C1051">
              <w:rPr>
                <w:rFonts w:ascii="Times New Roman CYR" w:hAnsi="Times New Roman CYR" w:cs="Times New Roman CYR"/>
                <w:color w:val="000000"/>
              </w:rPr>
              <w:t>56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>X</w:t>
            </w:r>
            <w:r w:rsidR="000C5831" w:rsidRPr="008C1051">
              <w:rPr>
                <w:rFonts w:ascii="Times New Roman CYR" w:hAnsi="Times New Roman CYR" w:cs="Times New Roman CYR"/>
                <w:color w:val="000000"/>
              </w:rPr>
              <w:t>930000000120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>J</w:t>
            </w:r>
          </w:p>
          <w:p w14:paraId="2CD7A55F" w14:textId="77777777" w:rsidR="000C5831" w:rsidRDefault="003D41FF" w:rsidP="000C5831">
            <w:pPr>
              <w:adjustRightInd w:val="0"/>
              <w:ind w:left="164"/>
              <w:rPr>
                <w:rFonts w:ascii="Times New Roman CYR" w:hAnsi="Times New Roman CYR" w:cs="Times New Roman CYR"/>
                <w:color w:val="000000"/>
              </w:rPr>
            </w:pPr>
            <w:r w:rsidRPr="003D41FF">
              <w:rPr>
                <w:lang w:val="ru-RU"/>
              </w:rPr>
              <w:t xml:space="preserve">Адреса: 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 xml:space="preserve">04108, м. Київ, проспект Свободи, </w:t>
            </w:r>
          </w:p>
          <w:p w14:paraId="22022154" w14:textId="67F004E0" w:rsidR="003D41FF" w:rsidRPr="003D41FF" w:rsidRDefault="000C5831" w:rsidP="000C5831">
            <w:pPr>
              <w:pStyle w:val="TableParagraph"/>
              <w:ind w:left="164" w:right="1227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будинок 2Г, літ. А</w:t>
            </w:r>
          </w:p>
          <w:p w14:paraId="46C55DC5" w14:textId="17551AF3" w:rsidR="003D41FF" w:rsidRPr="00DA2DB0" w:rsidRDefault="003D41FF" w:rsidP="000C5831">
            <w:pPr>
              <w:pStyle w:val="TableParagraph"/>
              <w:ind w:left="164" w:right="1227"/>
              <w:rPr>
                <w:bCs/>
                <w:lang w:val="ru-RU"/>
              </w:rPr>
            </w:pPr>
            <w:proofErr w:type="spellStart"/>
            <w:r w:rsidRPr="00DA2DB0">
              <w:rPr>
                <w:bCs/>
                <w:lang w:val="ru-RU"/>
              </w:rPr>
              <w:t>Рахунок</w:t>
            </w:r>
            <w:proofErr w:type="spellEnd"/>
            <w:r w:rsidRPr="00DA2DB0">
              <w:rPr>
                <w:bCs/>
                <w:lang w:val="ru-RU"/>
              </w:rPr>
              <w:t xml:space="preserve"> (для оплати</w:t>
            </w:r>
            <w:r w:rsidR="000C5831">
              <w:rPr>
                <w:bCs/>
                <w:lang w:val="ru-RU"/>
              </w:rPr>
              <w:t xml:space="preserve"> за </w:t>
            </w:r>
            <w:proofErr w:type="spellStart"/>
            <w:r w:rsidR="000C5831">
              <w:rPr>
                <w:bCs/>
                <w:lang w:val="ru-RU"/>
              </w:rPr>
              <w:t>спожиту</w:t>
            </w:r>
            <w:proofErr w:type="spellEnd"/>
            <w:r w:rsidR="000C5831">
              <w:rPr>
                <w:bCs/>
                <w:lang w:val="ru-RU"/>
              </w:rPr>
              <w:t xml:space="preserve"> </w:t>
            </w:r>
            <w:proofErr w:type="spellStart"/>
            <w:r w:rsidR="000C5831">
              <w:rPr>
                <w:bCs/>
                <w:lang w:val="ru-RU"/>
              </w:rPr>
              <w:t>електричну</w:t>
            </w:r>
            <w:proofErr w:type="spellEnd"/>
            <w:r w:rsidR="000C5831">
              <w:rPr>
                <w:bCs/>
                <w:lang w:val="ru-RU"/>
              </w:rPr>
              <w:t xml:space="preserve"> </w:t>
            </w:r>
            <w:proofErr w:type="spellStart"/>
            <w:r w:rsidR="000C5831">
              <w:rPr>
                <w:bCs/>
                <w:lang w:val="ru-RU"/>
              </w:rPr>
              <w:t>енергію</w:t>
            </w:r>
            <w:proofErr w:type="spellEnd"/>
            <w:r w:rsidR="000C5831">
              <w:rPr>
                <w:bCs/>
                <w:lang w:val="ru-RU"/>
              </w:rPr>
              <w:t>)</w:t>
            </w:r>
          </w:p>
          <w:p w14:paraId="286F3242" w14:textId="77777777" w:rsidR="000C5831" w:rsidRDefault="000C5831" w:rsidP="000C5831">
            <w:pPr>
              <w:adjustRightInd w:val="0"/>
              <w:ind w:left="16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UA663226690000026039304008084</w:t>
            </w:r>
          </w:p>
          <w:p w14:paraId="5E616636" w14:textId="3FFF9131" w:rsidR="009A7DAC" w:rsidRDefault="000C5831" w:rsidP="000C5831">
            <w:pPr>
              <w:pStyle w:val="TableParagraph"/>
              <w:ind w:left="164" w:right="1227"/>
              <w:rPr>
                <w:lang w:val="ru-RU"/>
              </w:rPr>
            </w:pPr>
            <w:r>
              <w:rPr>
                <w:color w:val="000000"/>
              </w:rPr>
              <w:t>в "</w:t>
            </w:r>
            <w:r>
              <w:rPr>
                <w:rFonts w:ascii="Times New Roman CYR" w:hAnsi="Times New Roman CYR" w:cs="Times New Roman CYR"/>
                <w:color w:val="000000"/>
              </w:rPr>
              <w:t>Державний ощадний банк України"</w:t>
            </w:r>
            <w:r w:rsidR="003D41FF" w:rsidRPr="003D41FF">
              <w:rPr>
                <w:lang w:val="ru-RU"/>
              </w:rPr>
              <w:t xml:space="preserve"> МФО: </w:t>
            </w:r>
            <w:r>
              <w:rPr>
                <w:rFonts w:ascii="Times New Roman CYR" w:hAnsi="Times New Roman CYR" w:cs="Times New Roman CYR"/>
                <w:color w:val="000000"/>
              </w:rPr>
              <w:t>300647</w:t>
            </w:r>
          </w:p>
          <w:p w14:paraId="692161B9" w14:textId="3A91DB21" w:rsidR="003D41FF" w:rsidRDefault="003D41FF" w:rsidP="000C5831">
            <w:pPr>
              <w:pStyle w:val="TableParagraph"/>
              <w:ind w:left="164" w:right="1227"/>
            </w:pPr>
            <w:r>
              <w:t xml:space="preserve">ІПН: </w:t>
            </w:r>
            <w:r w:rsidR="000C5831">
              <w:t>395929426564</w:t>
            </w:r>
            <w:r>
              <w:t>,</w:t>
            </w:r>
          </w:p>
          <w:p w14:paraId="40AEDCEF" w14:textId="12977087" w:rsidR="003D41FF" w:rsidRDefault="003D41FF" w:rsidP="000C5831">
            <w:pPr>
              <w:pStyle w:val="TableParagraph"/>
              <w:ind w:left="164" w:right="1227"/>
            </w:pPr>
            <w:r>
              <w:t xml:space="preserve">ЄДРПОУ: </w:t>
            </w:r>
            <w:r w:rsidR="000C5831">
              <w:t>39592941</w:t>
            </w:r>
          </w:p>
          <w:p w14:paraId="0F5E97CA" w14:textId="6174AB80" w:rsidR="003D41FF" w:rsidRDefault="000C5831" w:rsidP="000C5831">
            <w:pPr>
              <w:pStyle w:val="TableParagraph"/>
              <w:ind w:left="164" w:right="1227"/>
            </w:pPr>
            <w:proofErr w:type="spellStart"/>
            <w:r>
              <w:t>тел</w:t>
            </w:r>
            <w:proofErr w:type="spellEnd"/>
            <w:r>
              <w:t xml:space="preserve">.: </w:t>
            </w:r>
            <w:r>
              <w:rPr>
                <w:rFonts w:ascii="Times New Roman CYR" w:hAnsi="Times New Roman CYR" w:cs="Times New Roman CYR"/>
                <w:color w:val="000000"/>
              </w:rPr>
              <w:t>+38</w:t>
            </w:r>
            <w:r w:rsidR="00B54FC8" w:rsidRPr="004B3044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</w:rPr>
              <w:t>044</w:t>
            </w:r>
            <w:r w:rsidR="00B54FC8" w:rsidRPr="004B3044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) </w:t>
            </w:r>
            <w:r>
              <w:rPr>
                <w:rFonts w:ascii="Times New Roman CYR" w:hAnsi="Times New Roman CYR" w:cs="Times New Roman CYR"/>
                <w:color w:val="000000"/>
              </w:rPr>
              <w:t>428</w:t>
            </w:r>
            <w:r w:rsidR="00B54FC8" w:rsidRPr="004B3044">
              <w:rPr>
                <w:rFonts w:ascii="Times New Roman CYR" w:hAnsi="Times New Roman CYR" w:cs="Times New Roman CYR"/>
                <w:color w:val="000000"/>
                <w:lang w:val="ru-RU"/>
              </w:rPr>
              <w:t>-9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B54FC8" w:rsidRPr="004B3044">
              <w:rPr>
                <w:rFonts w:ascii="Times New Roman CYR" w:hAnsi="Times New Roman CYR" w:cs="Times New Roman CYR"/>
                <w:color w:val="000000"/>
                <w:lang w:val="ru-RU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43</w:t>
            </w:r>
            <w:r w:rsidR="003D41FF">
              <w:t xml:space="preserve"> </w:t>
            </w:r>
          </w:p>
          <w:p w14:paraId="4C8857D7" w14:textId="0A1C34A2" w:rsidR="000C5831" w:rsidRDefault="003D41FF" w:rsidP="000C5831">
            <w:pPr>
              <w:pStyle w:val="TableParagraph"/>
              <w:ind w:left="164" w:right="1227"/>
              <w:rPr>
                <w:color w:val="000000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r w:rsidR="004B3044">
              <w:rPr>
                <w:rFonts w:ascii="Calibri" w:hAnsi="Calibri" w:cs="Calibri"/>
                <w:color w:val="000000"/>
                <w:lang w:val="en-US"/>
              </w:rPr>
              <w:t> </w:t>
            </w:r>
            <w:hyperlink r:id="rId5" w:tgtFrame="_blank" w:history="1">
              <w:r w:rsidR="004B3044">
                <w:rPr>
                  <w:rStyle w:val="a6"/>
                  <w:rFonts w:ascii="Calibri" w:hAnsi="Calibri" w:cs="Calibri"/>
                  <w:lang w:val="en-US"/>
                </w:rPr>
                <w:t>office</w:t>
              </w:r>
              <w:r w:rsidR="004B3044" w:rsidRPr="004B3044">
                <w:rPr>
                  <w:rStyle w:val="a6"/>
                  <w:rFonts w:ascii="Calibri" w:hAnsi="Calibri" w:cs="Calibri"/>
                  <w:lang w:val="ru-RU"/>
                </w:rPr>
                <w:t>@</w:t>
              </w:r>
              <w:proofErr w:type="spellStart"/>
              <w:r w:rsidR="004B3044">
                <w:rPr>
                  <w:rStyle w:val="a6"/>
                  <w:rFonts w:ascii="Calibri" w:hAnsi="Calibri" w:cs="Calibri"/>
                  <w:lang w:val="en-US"/>
                </w:rPr>
                <w:t>kvgaszbut</w:t>
              </w:r>
              <w:proofErr w:type="spellEnd"/>
              <w:r w:rsidR="004B3044" w:rsidRPr="004B3044">
                <w:rPr>
                  <w:rStyle w:val="a6"/>
                  <w:rFonts w:ascii="Calibri" w:hAnsi="Calibri" w:cs="Calibri"/>
                  <w:lang w:val="ru-RU"/>
                </w:rPr>
                <w:t>.</w:t>
              </w:r>
              <w:r w:rsidR="004B3044">
                <w:rPr>
                  <w:rStyle w:val="a6"/>
                  <w:rFonts w:ascii="Calibri" w:hAnsi="Calibri" w:cs="Calibri"/>
                  <w:lang w:val="en-US"/>
                </w:rPr>
                <w:t>com</w:t>
              </w:r>
              <w:r w:rsidR="004B3044" w:rsidRPr="004B3044">
                <w:rPr>
                  <w:rStyle w:val="a6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4B3044">
                <w:rPr>
                  <w:rStyle w:val="a6"/>
                  <w:rFonts w:ascii="Calibri" w:hAnsi="Calibri" w:cs="Calibri"/>
                  <w:lang w:val="en-US"/>
                </w:rPr>
                <w:t>ua</w:t>
              </w:r>
              <w:proofErr w:type="spellEnd"/>
            </w:hyperlink>
          </w:p>
          <w:p w14:paraId="7ADEEFAE" w14:textId="771BDE06" w:rsidR="00DA2DB0" w:rsidRPr="003D41FF" w:rsidRDefault="005970EC" w:rsidP="000C5831">
            <w:pPr>
              <w:pStyle w:val="TableParagraph"/>
              <w:ind w:left="164" w:right="1227"/>
            </w:pPr>
            <w:r>
              <w:rPr>
                <w:color w:val="000000"/>
              </w:rPr>
              <w:t xml:space="preserve">сайт: </w:t>
            </w:r>
            <w:bookmarkStart w:id="0" w:name="_GoBack"/>
            <w:bookmarkEnd w:id="0"/>
            <w:r>
              <w:rPr>
                <w:color w:val="000000"/>
              </w:rPr>
              <w:t>kv</w:t>
            </w:r>
            <w:r w:rsidR="000C5831">
              <w:rPr>
                <w:color w:val="000000"/>
              </w:rPr>
              <w:t>gaszbut.com.ua</w:t>
            </w:r>
          </w:p>
          <w:p w14:paraId="10E366C2" w14:textId="0D39298D" w:rsidR="00104A14" w:rsidRDefault="00C820E8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1739D3D9" w14:textId="77777777" w:rsidR="00624539" w:rsidRDefault="00624539">
            <w:pPr>
              <w:pStyle w:val="TableParagraph"/>
              <w:rPr>
                <w:sz w:val="20"/>
              </w:rPr>
            </w:pP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3AD44F60" w:rsidR="00104A14" w:rsidRDefault="000C5831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/>
              </w:rPr>
              <mc:AlternateContent>
                <mc:Choice Requires="wpg">
                  <w:drawing>
                    <wp:inline distT="0" distB="0" distL="0" distR="0" wp14:anchorId="4D98AD80" wp14:editId="44A9A2B8">
                      <wp:extent cx="2167255" cy="8890"/>
                      <wp:effectExtent l="5715" t="8890" r="8255" b="127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0E01BF7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5447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47B6970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D88B0D4" w14:textId="77777777" w:rsidR="00104A14" w:rsidRDefault="00104A14">
            <w:pPr>
              <w:pStyle w:val="TableParagraph"/>
              <w:spacing w:before="1"/>
            </w:pPr>
          </w:p>
          <w:p w14:paraId="6A15FD6D" w14:textId="77777777" w:rsidR="00EC6188" w:rsidRDefault="00EC6188">
            <w:pPr>
              <w:pStyle w:val="TableParagraph"/>
              <w:ind w:left="1004"/>
              <w:rPr>
                <w:b/>
              </w:rPr>
            </w:pPr>
          </w:p>
          <w:p w14:paraId="03B6B11F" w14:textId="7B4AC7BB" w:rsidR="00EC6188" w:rsidRDefault="00EC6188" w:rsidP="00EC6188">
            <w:pPr>
              <w:pStyle w:val="TableParagraph"/>
              <w:rPr>
                <w:b/>
              </w:rPr>
            </w:pPr>
          </w:p>
          <w:p w14:paraId="7EDD5CAC" w14:textId="77777777" w:rsidR="00EC6188" w:rsidRDefault="00EC6188" w:rsidP="00EC6188">
            <w:pPr>
              <w:pStyle w:val="TableParagraph"/>
              <w:rPr>
                <w:b/>
              </w:rPr>
            </w:pPr>
          </w:p>
          <w:p w14:paraId="5FCC7F6B" w14:textId="77777777" w:rsidR="00DA2DB0" w:rsidRDefault="00DA2DB0">
            <w:pPr>
              <w:pStyle w:val="TableParagraph"/>
              <w:rPr>
                <w:b/>
              </w:rPr>
            </w:pPr>
          </w:p>
          <w:p w14:paraId="34C0AF0A" w14:textId="77777777" w:rsidR="00DA2DB0" w:rsidRDefault="00DA2DB0">
            <w:pPr>
              <w:pStyle w:val="TableParagraph"/>
              <w:rPr>
                <w:b/>
              </w:rPr>
            </w:pPr>
          </w:p>
          <w:p w14:paraId="49BDA108" w14:textId="77777777" w:rsidR="00DA2DB0" w:rsidRDefault="00DA2DB0">
            <w:pPr>
              <w:pStyle w:val="TableParagraph"/>
              <w:rPr>
                <w:b/>
              </w:rPr>
            </w:pPr>
          </w:p>
          <w:p w14:paraId="6CE98BFF" w14:textId="0AD78AA6" w:rsidR="00104A14" w:rsidRDefault="00C820E8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31835AA9" w14:textId="77777777" w:rsidR="00624539" w:rsidRPr="00EC6188" w:rsidRDefault="00624539">
            <w:pPr>
              <w:pStyle w:val="TableParagraph"/>
              <w:rPr>
                <w:b/>
              </w:rPr>
            </w:pPr>
          </w:p>
          <w:p w14:paraId="56ACABCC" w14:textId="33251AD6" w:rsidR="00104A14" w:rsidRDefault="00624539">
            <w:pPr>
              <w:pStyle w:val="TableParagraph"/>
              <w:spacing w:before="9"/>
            </w:pPr>
            <w:r>
              <w:rPr>
                <w:noProof/>
                <w:sz w:val="2"/>
                <w:lang/>
              </w:rPr>
              <mc:AlternateContent>
                <mc:Choice Requires="wpg">
                  <w:drawing>
                    <wp:inline distT="0" distB="0" distL="0" distR="0" wp14:anchorId="73944624" wp14:editId="69E93863">
                      <wp:extent cx="2026920" cy="8890"/>
                      <wp:effectExtent l="10160" t="5080" r="10795" b="508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8E3BFBC" id="Группа 1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">
                      <v:line id="Line 8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39479C2F" w14:textId="039E8656" w:rsidR="00104A14" w:rsidRDefault="00104A14">
            <w:pPr>
              <w:pStyle w:val="TableParagraph"/>
              <w:spacing w:line="20" w:lineRule="exact"/>
              <w:ind w:left="997"/>
              <w:rPr>
                <w:sz w:val="2"/>
              </w:rPr>
            </w:pPr>
          </w:p>
          <w:p w14:paraId="0B3F8035" w14:textId="77777777" w:rsidR="00104A14" w:rsidRDefault="00C820E8" w:rsidP="006245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77777777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14"/>
    <w:rsid w:val="000C5831"/>
    <w:rsid w:val="00104A14"/>
    <w:rsid w:val="0011078E"/>
    <w:rsid w:val="00162817"/>
    <w:rsid w:val="00191C6E"/>
    <w:rsid w:val="001D323F"/>
    <w:rsid w:val="00227D77"/>
    <w:rsid w:val="0032064F"/>
    <w:rsid w:val="00323857"/>
    <w:rsid w:val="003737D7"/>
    <w:rsid w:val="003D41FF"/>
    <w:rsid w:val="004A5072"/>
    <w:rsid w:val="004B3044"/>
    <w:rsid w:val="00526B8F"/>
    <w:rsid w:val="005653E3"/>
    <w:rsid w:val="005970EC"/>
    <w:rsid w:val="005C03DB"/>
    <w:rsid w:val="00605715"/>
    <w:rsid w:val="00624539"/>
    <w:rsid w:val="006869DC"/>
    <w:rsid w:val="00754F10"/>
    <w:rsid w:val="00772029"/>
    <w:rsid w:val="009118B7"/>
    <w:rsid w:val="009A7DAC"/>
    <w:rsid w:val="00B10CFA"/>
    <w:rsid w:val="00B54FC8"/>
    <w:rsid w:val="00C820E8"/>
    <w:rsid w:val="00DA2DB0"/>
    <w:rsid w:val="00EC6188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8DD"/>
  <w15:docId w15:val="{355A023C-6FB7-4DC2-8465-1163BC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3D41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1FF"/>
    <w:rPr>
      <w:color w:val="605E5C"/>
      <w:shd w:val="clear" w:color="auto" w:fill="E1DFDD"/>
    </w:rPr>
  </w:style>
  <w:style w:type="paragraph" w:customStyle="1" w:styleId="a7">
    <w:name w:val="Нормальний текст"/>
    <w:basedOn w:val="a"/>
    <w:rsid w:val="000C583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ukrgas.com.ua/OWA/redir.aspx?C=rrc9E-Z2dF18VqsNoygXsZpqWDJ8suyXsR1B9lvIJfZuFnAQ_E3aCA..&amp;URL=mailto%3aoffice%40kvgaszbu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2022-06-14T12:10:00Z</dcterms:created>
  <dcterms:modified xsi:type="dcterms:W3CDTF">2022-06-14T12:10:00Z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